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749D" w14:textId="770EC0AC" w:rsidR="00DC220C" w:rsidRPr="00901E3C" w:rsidRDefault="00A96672" w:rsidP="00B73435">
      <w:pPr>
        <w:pStyle w:val="Heading1"/>
        <w:pBdr>
          <w:bottom w:val="thickThinSmallGap" w:sz="24" w:space="1" w:color="auto"/>
        </w:pBdr>
        <w:spacing w:before="0" w:after="24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16s Sequencing</w:t>
      </w:r>
      <w:r w:rsidR="003D4567" w:rsidRPr="00901E3C">
        <w:rPr>
          <w:b/>
          <w:color w:val="auto"/>
          <w:sz w:val="28"/>
          <w:szCs w:val="28"/>
        </w:rPr>
        <w:t xml:space="preserve"> Frequently Asked Questions</w:t>
      </w:r>
    </w:p>
    <w:p w14:paraId="01695CD3" w14:textId="77777777" w:rsidR="00A96672" w:rsidRDefault="00A96672" w:rsidP="00A96672">
      <w:pPr>
        <w:pStyle w:val="BodyText"/>
      </w:pPr>
      <w:r>
        <w:rPr>
          <w:color w:val="0070C0"/>
        </w:rPr>
        <w:t>Q: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What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is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16S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metagenomics</w:t>
      </w:r>
      <w:r>
        <w:rPr>
          <w:color w:val="0070C0"/>
          <w:spacing w:val="-2"/>
        </w:rPr>
        <w:t xml:space="preserve"> workflow?</w:t>
      </w:r>
    </w:p>
    <w:p w14:paraId="421AC3D3" w14:textId="77777777" w:rsidR="00A96672" w:rsidRDefault="00A96672" w:rsidP="00A96672">
      <w:pPr>
        <w:pStyle w:val="BodyText"/>
        <w:spacing w:before="183"/>
        <w:ind w:right="417"/>
      </w:pPr>
      <w:r>
        <w:t>A: There are several steps involved in a 16S metagenomics project. These include Sample collection, DNA extraction, library construction, library quantification and pooling, sequencing, and data analysis.</w:t>
      </w:r>
    </w:p>
    <w:p w14:paraId="17D73FD6" w14:textId="77777777" w:rsidR="00A96672" w:rsidRDefault="00A96672" w:rsidP="00A96672">
      <w:pPr>
        <w:pStyle w:val="BodyText"/>
        <w:ind w:left="0"/>
      </w:pPr>
    </w:p>
    <w:p w14:paraId="37B8ACF0" w14:textId="77777777" w:rsidR="00A96672" w:rsidRDefault="00A96672" w:rsidP="00A96672">
      <w:pPr>
        <w:pStyle w:val="ListParagraph"/>
        <w:widowControl w:val="0"/>
        <w:numPr>
          <w:ilvl w:val="0"/>
          <w:numId w:val="14"/>
        </w:numPr>
        <w:tabs>
          <w:tab w:val="left" w:pos="720"/>
          <w:tab w:val="left" w:pos="720"/>
        </w:tabs>
        <w:autoSpaceDE w:val="0"/>
        <w:autoSpaceDN w:val="0"/>
        <w:spacing w:before="1" w:after="0" w:line="240" w:lineRule="auto"/>
        <w:ind w:right="509"/>
        <w:contextualSpacing w:val="0"/>
      </w:pPr>
      <w:r w:rsidRPr="00230E38">
        <w:rPr>
          <w:b/>
          <w:bCs/>
          <w:sz w:val="24"/>
          <w:szCs w:val="24"/>
        </w:rPr>
        <w:t xml:space="preserve">Sample </w:t>
      </w:r>
      <w:r>
        <w:rPr>
          <w:b/>
          <w:bCs/>
          <w:sz w:val="24"/>
          <w:szCs w:val="24"/>
        </w:rPr>
        <w:t>c</w:t>
      </w:r>
      <w:r w:rsidRPr="00230E38">
        <w:rPr>
          <w:b/>
          <w:bCs/>
          <w:sz w:val="24"/>
          <w:szCs w:val="24"/>
        </w:rPr>
        <w:t>ollection.</w:t>
      </w:r>
      <w:r>
        <w:t xml:space="preserve"> A robust sample collection protocol that maintains the integrity of samples is both important and challenging in microbiome studies. The microbial composition of samples may be</w:t>
      </w:r>
      <w:r>
        <w:rPr>
          <w:spacing w:val="-1"/>
        </w:rPr>
        <w:t xml:space="preserve"> </w:t>
      </w:r>
      <w:r>
        <w:t>adversely</w:t>
      </w:r>
      <w:r>
        <w:rPr>
          <w:spacing w:val="-3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what’s</w:t>
      </w:r>
      <w:r>
        <w:rPr>
          <w:spacing w:val="-4"/>
        </w:rPr>
        <w:t xml:space="preserve"> </w:t>
      </w:r>
      <w:r>
        <w:t>the best collection method for your samples.</w:t>
      </w:r>
    </w:p>
    <w:p w14:paraId="42CF55DE" w14:textId="77777777" w:rsidR="00A96672" w:rsidRDefault="00A96672" w:rsidP="00A96672">
      <w:pPr>
        <w:pStyle w:val="BodyText"/>
        <w:spacing w:before="118"/>
        <w:ind w:left="720"/>
      </w:pPr>
      <w:proofErr w:type="spellStart"/>
      <w:r>
        <w:rPr>
          <w:spacing w:val="-2"/>
        </w:rPr>
        <w:t>Zymo</w:t>
      </w:r>
      <w:proofErr w:type="spellEnd"/>
      <w:r>
        <w:rPr>
          <w:spacing w:val="32"/>
        </w:rPr>
        <w:t xml:space="preserve"> </w:t>
      </w:r>
      <w:r>
        <w:rPr>
          <w:spacing w:val="-2"/>
        </w:rPr>
        <w:t>Research:</w:t>
      </w:r>
      <w:r>
        <w:rPr>
          <w:spacing w:val="35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https://www.zymoresearch.com/pages/sample-collections</w:t>
        </w:r>
      </w:hyperlink>
    </w:p>
    <w:p w14:paraId="271E07F5" w14:textId="77777777" w:rsidR="00A96672" w:rsidRDefault="00A96672" w:rsidP="00A96672">
      <w:pPr>
        <w:pStyle w:val="BodyText"/>
        <w:spacing w:before="120"/>
        <w:ind w:left="720" w:right="538"/>
      </w:pPr>
      <w:proofErr w:type="spellStart"/>
      <w:r>
        <w:t>Norgen</w:t>
      </w:r>
      <w:proofErr w:type="spellEnd"/>
      <w:r>
        <w:rPr>
          <w:spacing w:val="-13"/>
        </w:rPr>
        <w:t xml:space="preserve"> </w:t>
      </w:r>
      <w:proofErr w:type="spellStart"/>
      <w:r>
        <w:t>BioTech</w:t>
      </w:r>
      <w:proofErr w:type="spellEnd"/>
      <w:r>
        <w:t>:</w:t>
      </w:r>
      <w:r>
        <w:rPr>
          <w:spacing w:val="-12"/>
        </w:rPr>
        <w:t xml:space="preserve"> </w:t>
      </w:r>
      <w:hyperlink r:id="rId9">
        <w:r>
          <w:rPr>
            <w:color w:val="0000FF"/>
            <w:u w:val="single" w:color="0000FF"/>
          </w:rPr>
          <w:t>https://norgenbiotek.com/category/microbiome-collection-preservation-and-</w:t>
        </w:r>
      </w:hyperlink>
      <w:hyperlink r:id="rId10">
        <w:r>
          <w:rPr>
            <w:color w:val="0000FF"/>
            <w:spacing w:val="-2"/>
            <w:u w:val="single" w:color="0000FF"/>
          </w:rPr>
          <w:t>isolation</w:t>
        </w:r>
      </w:hyperlink>
    </w:p>
    <w:p w14:paraId="46240178" w14:textId="77777777" w:rsidR="00A96672" w:rsidRDefault="00A96672" w:rsidP="00A96672">
      <w:pPr>
        <w:pStyle w:val="BodyText"/>
        <w:spacing w:before="121"/>
        <w:ind w:left="720" w:right="538"/>
      </w:pPr>
      <w:r>
        <w:t>BD:</w:t>
      </w:r>
      <w:r>
        <w:rPr>
          <w:spacing w:val="-13"/>
        </w:rPr>
        <w:t xml:space="preserve"> </w:t>
      </w:r>
      <w:hyperlink r:id="rId11">
        <w:r>
          <w:rPr>
            <w:color w:val="0000FF"/>
            <w:u w:val="single" w:color="0000FF"/>
          </w:rPr>
          <w:t>https://www.bd.com/en-us/offerings/capabilities/specimen-collection/swab-based-specimen-</w:t>
        </w:r>
      </w:hyperlink>
      <w:hyperlink r:id="rId12">
        <w:r>
          <w:rPr>
            <w:color w:val="0000FF"/>
            <w:spacing w:val="-2"/>
            <w:u w:val="single" w:color="0000FF"/>
          </w:rPr>
          <w:t>collection/bd-bbl-cultureswab-ez-collection-and-transport-systems</w:t>
        </w:r>
      </w:hyperlink>
    </w:p>
    <w:p w14:paraId="6E592CA9" w14:textId="77777777" w:rsidR="00A96672" w:rsidRDefault="00A96672" w:rsidP="00A96672">
      <w:pPr>
        <w:pStyle w:val="BodyText"/>
        <w:spacing w:before="241"/>
        <w:ind w:left="0"/>
      </w:pPr>
    </w:p>
    <w:p w14:paraId="6E1347F4" w14:textId="441A02CB" w:rsidR="00A96672" w:rsidRDefault="00A96672" w:rsidP="00A96672">
      <w:pPr>
        <w:pStyle w:val="ListParagraph"/>
        <w:widowControl w:val="0"/>
        <w:numPr>
          <w:ilvl w:val="0"/>
          <w:numId w:val="14"/>
        </w:numPr>
        <w:tabs>
          <w:tab w:val="left" w:pos="719"/>
          <w:tab w:val="left" w:pos="719"/>
        </w:tabs>
        <w:autoSpaceDE w:val="0"/>
        <w:autoSpaceDN w:val="0"/>
        <w:spacing w:after="0" w:line="240" w:lineRule="auto"/>
        <w:ind w:left="719" w:right="513" w:hanging="360"/>
        <w:contextualSpacing w:val="0"/>
      </w:pPr>
      <w:r w:rsidRPr="00230E38">
        <w:rPr>
          <w:b/>
          <w:bCs/>
          <w:sz w:val="24"/>
          <w:szCs w:val="24"/>
        </w:rPr>
        <w:t>DNA</w:t>
      </w:r>
      <w:r w:rsidRPr="00230E38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extraction</w:t>
      </w:r>
      <w:r w:rsidRPr="00230E38">
        <w:rPr>
          <w:b/>
          <w:bCs/>
          <w:sz w:val="24"/>
          <w:szCs w:val="24"/>
        </w:rPr>
        <w:t>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extracts</w:t>
      </w:r>
      <w:r>
        <w:rPr>
          <w:spacing w:val="-4"/>
        </w:rPr>
        <w:t xml:space="preserve"> </w:t>
      </w:r>
      <w:r>
        <w:t>DNA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“similar”</w:t>
      </w:r>
      <w:r>
        <w:rPr>
          <w:spacing w:val="-1"/>
        </w:rPr>
        <w:t xml:space="preserve"> </w:t>
      </w:r>
      <w:r>
        <w:t>efficiency for all</w:t>
      </w:r>
      <w:r>
        <w:rPr>
          <w:spacing w:val="-2"/>
        </w:rPr>
        <w:t xml:space="preserve"> </w:t>
      </w:r>
      <w:r>
        <w:t>microorganisms</w:t>
      </w:r>
      <w:r>
        <w:rPr>
          <w:spacing w:val="-4"/>
        </w:rPr>
        <w:t xml:space="preserve"> </w:t>
      </w:r>
      <w:r w:rsidR="00C35E63">
        <w:t>to</w:t>
      </w:r>
      <w:r>
        <w:rPr>
          <w:spacing w:val="-3"/>
        </w:rPr>
        <w:t xml:space="preserve"> </w:t>
      </w:r>
      <w:r>
        <w:t>reveal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 xml:space="preserve">to find out what extraction kit is best suited for your samples. You can always seek </w:t>
      </w:r>
      <w:r w:rsidR="00C35E63">
        <w:t>information</w:t>
      </w:r>
      <w:r>
        <w:t xml:space="preserve"> from the expert in the field you are working </w:t>
      </w:r>
      <w:proofErr w:type="gramStart"/>
      <w:r>
        <w:t>on</w:t>
      </w:r>
      <w:proofErr w:type="gramEnd"/>
      <w:r>
        <w:t xml:space="preserve"> to see which kit/method they use.</w:t>
      </w:r>
    </w:p>
    <w:p w14:paraId="74BC3F84" w14:textId="77777777" w:rsidR="00A96672" w:rsidRDefault="00A96672" w:rsidP="00A96672">
      <w:pPr>
        <w:pStyle w:val="BodyText"/>
        <w:spacing w:before="118"/>
        <w:ind w:left="719"/>
      </w:pPr>
      <w:proofErr w:type="spellStart"/>
      <w:r>
        <w:t>PureLink</w:t>
      </w:r>
      <w:proofErr w:type="spellEnd"/>
      <w:r>
        <w:t>™</w:t>
      </w:r>
      <w:r>
        <w:rPr>
          <w:spacing w:val="-7"/>
        </w:rPr>
        <w:t xml:space="preserve"> </w:t>
      </w:r>
      <w:r>
        <w:t>Microbiome</w:t>
      </w:r>
      <w:r>
        <w:rPr>
          <w:spacing w:val="-7"/>
        </w:rPr>
        <w:t xml:space="preserve"> </w:t>
      </w:r>
      <w:r>
        <w:t>DNA</w:t>
      </w:r>
      <w:r>
        <w:rPr>
          <w:spacing w:val="-5"/>
        </w:rPr>
        <w:t xml:space="preserve"> </w:t>
      </w:r>
      <w:r>
        <w:rPr>
          <w:spacing w:val="-2"/>
        </w:rPr>
        <w:t>Purification</w:t>
      </w:r>
    </w:p>
    <w:p w14:paraId="74DDB019" w14:textId="77777777" w:rsidR="00A96672" w:rsidRDefault="00A96672" w:rsidP="00A96672">
      <w:pPr>
        <w:pStyle w:val="BodyText"/>
        <w:ind w:left="719"/>
      </w:pPr>
      <w:r>
        <w:t>Kit:</w:t>
      </w:r>
      <w:r>
        <w:rPr>
          <w:spacing w:val="-4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https://www.thermofisher.com/order/catalog/product/A29790</w:t>
        </w:r>
      </w:hyperlink>
    </w:p>
    <w:p w14:paraId="77B9A6BD" w14:textId="77777777" w:rsidR="00A96672" w:rsidRDefault="00A96672" w:rsidP="00A96672">
      <w:pPr>
        <w:pStyle w:val="BodyText"/>
        <w:spacing w:before="121"/>
        <w:ind w:left="720" w:right="688"/>
      </w:pPr>
      <w:r>
        <w:t>Microbiome</w:t>
      </w:r>
      <w:r>
        <w:rPr>
          <w:spacing w:val="-7"/>
        </w:rPr>
        <w:t xml:space="preserve"> </w:t>
      </w:r>
      <w:r>
        <w:t>DNA</w:t>
      </w:r>
      <w:r>
        <w:rPr>
          <w:spacing w:val="-6"/>
        </w:rPr>
        <w:t xml:space="preserve"> </w:t>
      </w:r>
      <w:r>
        <w:t>Isolation</w:t>
      </w:r>
      <w:r>
        <w:rPr>
          <w:spacing w:val="-8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(Cat.</w:t>
      </w:r>
      <w:r>
        <w:rPr>
          <w:spacing w:val="-6"/>
        </w:rPr>
        <w:t xml:space="preserve"> </w:t>
      </w:r>
      <w:r>
        <w:t>64100):</w:t>
      </w:r>
      <w:r>
        <w:rPr>
          <w:spacing w:val="-6"/>
        </w:rPr>
        <w:t xml:space="preserve"> </w:t>
      </w:r>
      <w:hyperlink r:id="rId14">
        <w:r>
          <w:rPr>
            <w:color w:val="0000FF"/>
            <w:u w:val="single" w:color="0000FF"/>
          </w:rPr>
          <w:t>https://norgenbiotek.com/product/microbiome-dna-</w:t>
        </w:r>
      </w:hyperlink>
      <w:hyperlink r:id="rId15">
        <w:r>
          <w:rPr>
            <w:color w:val="0000FF"/>
            <w:spacing w:val="-2"/>
            <w:u w:val="single" w:color="0000FF"/>
          </w:rPr>
          <w:t>isolation-kit</w:t>
        </w:r>
      </w:hyperlink>
    </w:p>
    <w:p w14:paraId="283EA403" w14:textId="77777777" w:rsidR="00A96672" w:rsidRDefault="00A96672" w:rsidP="00A96672">
      <w:pPr>
        <w:pStyle w:val="BodyText"/>
        <w:spacing w:before="120"/>
        <w:ind w:left="720" w:right="615"/>
      </w:pPr>
      <w:proofErr w:type="spellStart"/>
      <w:r>
        <w:t>QIAamp</w:t>
      </w:r>
      <w:proofErr w:type="spellEnd"/>
      <w:r>
        <w:rPr>
          <w:spacing w:val="-10"/>
        </w:rPr>
        <w:t xml:space="preserve"> </w:t>
      </w:r>
      <w:r>
        <w:t>DNA</w:t>
      </w:r>
      <w:r>
        <w:rPr>
          <w:spacing w:val="-8"/>
        </w:rPr>
        <w:t xml:space="preserve"> </w:t>
      </w:r>
      <w:r>
        <w:t>Microbiome</w:t>
      </w:r>
      <w:r>
        <w:rPr>
          <w:spacing w:val="-10"/>
        </w:rPr>
        <w:t xml:space="preserve"> </w:t>
      </w:r>
      <w:r>
        <w:t>Kit:</w:t>
      </w:r>
      <w:r>
        <w:rPr>
          <w:spacing w:val="-9"/>
        </w:rPr>
        <w:t xml:space="preserve"> </w:t>
      </w:r>
      <w:hyperlink r:id="rId16" w:anchor="orderinginformation">
        <w:r>
          <w:rPr>
            <w:color w:val="0000FF"/>
            <w:u w:val="single" w:color="0000FF"/>
          </w:rPr>
          <w:t>https://www.qiagen.com/us/products/discovery-and-translational-</w:t>
        </w:r>
      </w:hyperlink>
      <w:hyperlink r:id="rId17" w:anchor="orderinginformation">
        <w:r>
          <w:rPr>
            <w:color w:val="0000FF"/>
            <w:spacing w:val="-2"/>
            <w:u w:val="single" w:color="0000FF"/>
          </w:rPr>
          <w:t>research/dna-rna-purification/dna-purification/microbial-dna/qiaamp-dna-microbiome-</w:t>
        </w:r>
      </w:hyperlink>
      <w:hyperlink r:id="rId18" w:anchor="orderinginformation">
        <w:r>
          <w:rPr>
            <w:color w:val="0000FF"/>
            <w:spacing w:val="-2"/>
            <w:u w:val="single" w:color="0000FF"/>
          </w:rPr>
          <w:t>kit/#orderinginformation</w:t>
        </w:r>
      </w:hyperlink>
    </w:p>
    <w:p w14:paraId="0626CA9B" w14:textId="77777777" w:rsidR="00A96672" w:rsidRDefault="00A96672" w:rsidP="00A96672">
      <w:pPr>
        <w:pStyle w:val="BodyText"/>
        <w:spacing w:before="119"/>
        <w:ind w:left="720" w:right="871"/>
      </w:pPr>
      <w:proofErr w:type="spellStart"/>
      <w:r>
        <w:t>QIAamp</w:t>
      </w:r>
      <w:proofErr w:type="spellEnd"/>
      <w:r>
        <w:rPr>
          <w:spacing w:val="-8"/>
        </w:rPr>
        <w:t xml:space="preserve"> </w:t>
      </w:r>
      <w:r>
        <w:t>DNA</w:t>
      </w:r>
      <w:r>
        <w:rPr>
          <w:spacing w:val="-6"/>
        </w:rPr>
        <w:t xml:space="preserve"> </w:t>
      </w:r>
      <w:r>
        <w:t>Stool</w:t>
      </w:r>
      <w:r>
        <w:rPr>
          <w:spacing w:val="-8"/>
        </w:rPr>
        <w:t xml:space="preserve"> </w:t>
      </w:r>
      <w:r>
        <w:t>Mini</w:t>
      </w:r>
      <w:r>
        <w:rPr>
          <w:spacing w:val="-8"/>
        </w:rPr>
        <w:t xml:space="preserve"> </w:t>
      </w:r>
      <w:r>
        <w:t>Kit:</w:t>
      </w:r>
      <w:r>
        <w:rPr>
          <w:spacing w:val="-6"/>
        </w:rPr>
        <w:t xml:space="preserve"> </w:t>
      </w:r>
      <w:hyperlink r:id="rId19">
        <w:r>
          <w:rPr>
            <w:color w:val="0000FF"/>
            <w:u w:val="single" w:color="0000FF"/>
          </w:rPr>
          <w:t>https://www.qiagen.com/us/spotlight-pages/ias/automated-qpcr-</w:t>
        </w:r>
      </w:hyperlink>
      <w:hyperlink r:id="rId20">
        <w:r>
          <w:rPr>
            <w:color w:val="0000FF"/>
            <w:spacing w:val="-2"/>
            <w:u w:val="single" w:color="0000FF"/>
          </w:rPr>
          <w:t>workflow/assay-setup/qiaamp-dna-stool-mini-kit/</w:t>
        </w:r>
      </w:hyperlink>
    </w:p>
    <w:p w14:paraId="193742AD" w14:textId="77777777" w:rsidR="00A96672" w:rsidRDefault="00A96672" w:rsidP="00A96672">
      <w:pPr>
        <w:pStyle w:val="BodyText"/>
        <w:spacing w:before="120"/>
        <w:ind w:left="720"/>
      </w:pPr>
      <w:r>
        <w:rPr>
          <w:spacing w:val="-2"/>
        </w:rPr>
        <w:t>E.Z.N.A.®</w:t>
      </w:r>
      <w:r>
        <w:rPr>
          <w:spacing w:val="23"/>
        </w:rPr>
        <w:t xml:space="preserve"> </w:t>
      </w:r>
      <w:r>
        <w:rPr>
          <w:spacing w:val="-2"/>
        </w:rPr>
        <w:t>Stool</w:t>
      </w:r>
      <w:r>
        <w:rPr>
          <w:spacing w:val="19"/>
        </w:rPr>
        <w:t xml:space="preserve"> </w:t>
      </w:r>
      <w:r>
        <w:rPr>
          <w:spacing w:val="-2"/>
        </w:rPr>
        <w:t>DNA</w:t>
      </w:r>
      <w:r>
        <w:rPr>
          <w:spacing w:val="23"/>
        </w:rPr>
        <w:t xml:space="preserve"> </w:t>
      </w:r>
      <w:r>
        <w:rPr>
          <w:spacing w:val="-2"/>
        </w:rPr>
        <w:t>Kit:</w:t>
      </w:r>
      <w:r>
        <w:rPr>
          <w:spacing w:val="23"/>
        </w:rPr>
        <w:t xml:space="preserve"> </w:t>
      </w:r>
      <w:hyperlink r:id="rId21">
        <w:r>
          <w:rPr>
            <w:color w:val="0000FF"/>
            <w:spacing w:val="-2"/>
            <w:u w:val="single" w:color="0000FF"/>
          </w:rPr>
          <w:t>https://www.omegabiotek.com/product/e-z-n-a-stool-dna-</w:t>
        </w:r>
        <w:r>
          <w:rPr>
            <w:color w:val="0000FF"/>
            <w:spacing w:val="-4"/>
            <w:u w:val="single" w:color="0000FF"/>
          </w:rPr>
          <w:t>kit/</w:t>
        </w:r>
      </w:hyperlink>
    </w:p>
    <w:p w14:paraId="78059A52" w14:textId="77777777" w:rsidR="00A96672" w:rsidRDefault="00A96672" w:rsidP="00A96672">
      <w:pPr>
        <w:pStyle w:val="BodyText"/>
        <w:spacing w:before="120"/>
        <w:ind w:left="720" w:right="844"/>
      </w:pPr>
      <w:r>
        <w:t>Meta-G-Nome™</w:t>
      </w:r>
      <w:r>
        <w:rPr>
          <w:spacing w:val="-6"/>
        </w:rPr>
        <w:t xml:space="preserve"> </w:t>
      </w:r>
      <w:r>
        <w:t>DNA</w:t>
      </w:r>
      <w:r>
        <w:rPr>
          <w:spacing w:val="-4"/>
        </w:rPr>
        <w:t xml:space="preserve"> </w:t>
      </w:r>
      <w:r>
        <w:t>Isolation</w:t>
      </w:r>
      <w:r>
        <w:rPr>
          <w:spacing w:val="-5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water:</w:t>
      </w:r>
      <w:r>
        <w:rPr>
          <w:spacing w:val="-7"/>
        </w:rPr>
        <w:t xml:space="preserve"> </w:t>
      </w:r>
      <w:hyperlink r:id="rId22">
        <w:r>
          <w:rPr>
            <w:color w:val="0000FF"/>
            <w:u w:val="single" w:color="0000FF"/>
          </w:rPr>
          <w:t>http://www.epibio.com/applications/nucleic-acid-</w:t>
        </w:r>
      </w:hyperlink>
      <w:hyperlink r:id="rId23">
        <w:r>
          <w:rPr>
            <w:color w:val="0000FF"/>
            <w:spacing w:val="-2"/>
            <w:u w:val="single" w:color="0000FF"/>
          </w:rPr>
          <w:t>purification-extraction-kits/dna-purification-genomic/meta-g-nome-dna-isolation-kit?details</w:t>
        </w:r>
      </w:hyperlink>
    </w:p>
    <w:p w14:paraId="09FE33D4" w14:textId="77777777" w:rsidR="00A96672" w:rsidRDefault="00A96672" w:rsidP="00A96672">
      <w:pPr>
        <w:pStyle w:val="BodyText"/>
        <w:spacing w:before="241"/>
        <w:ind w:left="0"/>
      </w:pPr>
    </w:p>
    <w:p w14:paraId="7816FF30" w14:textId="77777777" w:rsidR="00A96672" w:rsidRDefault="00A96672" w:rsidP="00A96672">
      <w:pPr>
        <w:pStyle w:val="ListParagraph"/>
        <w:widowControl w:val="0"/>
        <w:numPr>
          <w:ilvl w:val="0"/>
          <w:numId w:val="14"/>
        </w:numPr>
        <w:tabs>
          <w:tab w:val="left" w:pos="719"/>
          <w:tab w:val="left" w:pos="719"/>
        </w:tabs>
        <w:autoSpaceDE w:val="0"/>
        <w:autoSpaceDN w:val="0"/>
        <w:spacing w:after="0" w:line="240" w:lineRule="auto"/>
        <w:ind w:left="719" w:right="496" w:hanging="360"/>
        <w:contextualSpacing w:val="0"/>
      </w:pPr>
      <w:r w:rsidRPr="00230E38">
        <w:rPr>
          <w:b/>
          <w:bCs/>
          <w:sz w:val="24"/>
          <w:szCs w:val="24"/>
        </w:rPr>
        <w:t>Library construction (16S amplicon or any other target).</w:t>
      </w:r>
      <w:r>
        <w:t xml:space="preserve"> ICBR Gene Expression &amp; Genotyping Core currently</w:t>
      </w:r>
      <w:r>
        <w:rPr>
          <w:spacing w:val="-4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16S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the “</w:t>
      </w:r>
      <w:proofErr w:type="spellStart"/>
      <w:r>
        <w:rPr>
          <w:spacing w:val="-5"/>
        </w:rPr>
        <w:t>QIAseq</w:t>
      </w:r>
      <w:proofErr w:type="spellEnd"/>
      <w:r>
        <w:rPr>
          <w:spacing w:val="-5"/>
        </w:rPr>
        <w:t xml:space="preserve"> 16S/ITS Region Panels and Index Kits” from Qiagen. </w:t>
      </w:r>
      <w:r>
        <w:t>If you are constructing your own libraries, we recommend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Illumina and</w:t>
      </w:r>
      <w:r>
        <w:rPr>
          <w:spacing w:val="-3"/>
        </w:rPr>
        <w:t xml:space="preserve"> </w:t>
      </w:r>
      <w:r>
        <w:t>the barcoding</w:t>
      </w:r>
      <w:r>
        <w:rPr>
          <w:spacing w:val="-1"/>
        </w:rPr>
        <w:t xml:space="preserve"> </w:t>
      </w:r>
      <w:r>
        <w:t>reagents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Nextera</w:t>
      </w:r>
      <w:proofErr w:type="spellEnd"/>
      <w:r>
        <w:t xml:space="preserve"> XT kit (Illumina Inc.). </w:t>
      </w:r>
      <w:r>
        <w:rPr>
          <w:spacing w:val="-2"/>
        </w:rPr>
        <w:t>(</w:t>
      </w:r>
      <w:hyperlink r:id="rId24">
        <w:r>
          <w:rPr>
            <w:spacing w:val="-2"/>
            <w:u w:val="single"/>
          </w:rPr>
          <w:t>https://support.illumina.com/documents/documentation/chemistry_documentation/16s/16s-</w:t>
        </w:r>
      </w:hyperlink>
      <w:hyperlink r:id="rId25">
        <w:r>
          <w:rPr>
            <w:u w:val="single"/>
          </w:rPr>
          <w:t>metagenomic-library-prep-guide-15044223-b.pdf</w:t>
        </w:r>
      </w:hyperlink>
      <w:r>
        <w:t>). The method consists of two sequential PCR</w:t>
      </w:r>
    </w:p>
    <w:p w14:paraId="2548D6F7" w14:textId="77777777" w:rsidR="00A96672" w:rsidRDefault="00A96672" w:rsidP="00A96672">
      <w:pPr>
        <w:pStyle w:val="ListParagraph"/>
        <w:sectPr w:rsidR="00A96672" w:rsidSect="00A9667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2240" w:h="15840"/>
          <w:pgMar w:top="1860" w:right="1080" w:bottom="920" w:left="1080" w:header="701" w:footer="729" w:gutter="0"/>
          <w:pgNumType w:start="1"/>
          <w:cols w:space="720"/>
        </w:sectPr>
      </w:pPr>
    </w:p>
    <w:p w14:paraId="766B8563" w14:textId="77777777" w:rsidR="00A96672" w:rsidRDefault="00A96672" w:rsidP="00A96672">
      <w:pPr>
        <w:pStyle w:val="BodyText"/>
        <w:spacing w:before="46"/>
        <w:ind w:left="719" w:right="335"/>
      </w:pPr>
      <w:r>
        <w:lastRenderedPageBreak/>
        <w:t xml:space="preserve">reactions. You will need to order </w:t>
      </w:r>
      <w:r>
        <w:rPr>
          <w:u w:val="single"/>
        </w:rPr>
        <w:t>HPLC- purified</w:t>
      </w:r>
      <w:r>
        <w:t xml:space="preserve"> primers and PCR reagents for the first reaction. The first PCR is </w:t>
      </w:r>
      <w:proofErr w:type="gramStart"/>
      <w:r>
        <w:t>exactly the same</w:t>
      </w:r>
      <w:proofErr w:type="gramEnd"/>
      <w:r>
        <w:t xml:space="preserve"> for every sample. In contrast, the second PCR reaction is unique for every</w:t>
      </w:r>
      <w:r>
        <w:rPr>
          <w:spacing w:val="-1"/>
        </w:rPr>
        <w:t xml:space="preserve"> </w:t>
      </w:r>
      <w:r>
        <w:t>sample because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barcode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sample.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barcode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192 samples to be pooled for a single </w:t>
      </w:r>
      <w:proofErr w:type="spellStart"/>
      <w:r>
        <w:t>MiSeq</w:t>
      </w:r>
      <w:proofErr w:type="spellEnd"/>
      <w:r>
        <w:t xml:space="preserve"> run (2x300 cycles), using the </w:t>
      </w:r>
      <w:proofErr w:type="spellStart"/>
      <w:r>
        <w:t>Nextera</w:t>
      </w:r>
      <w:proofErr w:type="spellEnd"/>
      <w:r>
        <w:t xml:space="preserve"> XT kit (Index Kit v2 Set A and Set B). Other library construction protocols are also accepted. These include, for example, libraries constructed with the </w:t>
      </w:r>
      <w:proofErr w:type="spellStart"/>
      <w:r>
        <w:t>QIAseq</w:t>
      </w:r>
      <w:proofErr w:type="spellEnd"/>
      <w:r>
        <w:t xml:space="preserve"> 16S/ITS Kit, or custom protocols as described in the literature.</w:t>
      </w:r>
    </w:p>
    <w:p w14:paraId="15E927FF" w14:textId="77777777" w:rsidR="00A96672" w:rsidRDefault="00A96672" w:rsidP="00A96672">
      <w:pPr>
        <w:pStyle w:val="ListParagraph"/>
        <w:widowControl w:val="0"/>
        <w:numPr>
          <w:ilvl w:val="0"/>
          <w:numId w:val="14"/>
        </w:numPr>
        <w:tabs>
          <w:tab w:val="left" w:pos="720"/>
          <w:tab w:val="left" w:pos="720"/>
        </w:tabs>
        <w:autoSpaceDE w:val="0"/>
        <w:autoSpaceDN w:val="0"/>
        <w:spacing w:before="121" w:after="0" w:line="240" w:lineRule="auto"/>
        <w:ind w:right="563"/>
        <w:contextualSpacing w:val="0"/>
      </w:pPr>
      <w:r w:rsidRPr="00230E38">
        <w:rPr>
          <w:b/>
          <w:bCs/>
          <w:sz w:val="24"/>
          <w:szCs w:val="24"/>
        </w:rPr>
        <w:t>Library quantification</w:t>
      </w:r>
      <w:r>
        <w:rPr>
          <w:b/>
          <w:bCs/>
          <w:sz w:val="24"/>
          <w:szCs w:val="24"/>
        </w:rPr>
        <w:t xml:space="preserve"> </w:t>
      </w:r>
      <w:r w:rsidRPr="00230E38">
        <w:rPr>
          <w:b/>
          <w:bCs/>
          <w:sz w:val="24"/>
          <w:szCs w:val="24"/>
        </w:rPr>
        <w:t>and pooling.</w:t>
      </w:r>
      <w:r>
        <w:t xml:space="preserve"> Use QUBIT to estimate concentration, and the </w:t>
      </w:r>
      <w:proofErr w:type="spellStart"/>
      <w:r>
        <w:t>TapeStation</w:t>
      </w:r>
      <w:proofErr w:type="spellEnd"/>
      <w:r>
        <w:t xml:space="preserve"> (or Bioanalyzer) for sizing. If you have followed the Illumina recommended method for amplifying variable</w:t>
      </w:r>
      <w:r>
        <w:rPr>
          <w:spacing w:val="-1"/>
        </w:rPr>
        <w:t xml:space="preserve"> </w:t>
      </w:r>
      <w:r>
        <w:t>regions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~600</w:t>
      </w:r>
      <w:r>
        <w:rPr>
          <w:spacing w:val="-1"/>
        </w:rPr>
        <w:t xml:space="preserve"> </w:t>
      </w:r>
      <w:r>
        <w:t>bp.</w:t>
      </w:r>
      <w:r>
        <w:rPr>
          <w:spacing w:val="-2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molarity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QUBIT concentration and average size on </w:t>
      </w:r>
      <w:proofErr w:type="spellStart"/>
      <w:r>
        <w:t>TapeStation</w:t>
      </w:r>
      <w:proofErr w:type="spellEnd"/>
      <w:r>
        <w:t>, and pool equimolarly.</w:t>
      </w:r>
    </w:p>
    <w:p w14:paraId="78F0592C" w14:textId="1325E577" w:rsidR="00A96672" w:rsidRDefault="00A96672" w:rsidP="007409EC">
      <w:pPr>
        <w:pStyle w:val="ListParagraph"/>
        <w:widowControl w:val="0"/>
        <w:numPr>
          <w:ilvl w:val="0"/>
          <w:numId w:val="14"/>
        </w:numPr>
        <w:tabs>
          <w:tab w:val="left" w:pos="720"/>
          <w:tab w:val="left" w:pos="720"/>
        </w:tabs>
        <w:autoSpaceDE w:val="0"/>
        <w:autoSpaceDN w:val="0"/>
        <w:spacing w:before="119" w:after="0" w:line="240" w:lineRule="auto"/>
        <w:ind w:right="613"/>
        <w:contextualSpacing w:val="0"/>
      </w:pPr>
      <w:r w:rsidRPr="00230E38">
        <w:rPr>
          <w:b/>
          <w:bCs/>
          <w:sz w:val="24"/>
          <w:szCs w:val="24"/>
        </w:rPr>
        <w:t>Sequencing.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16S</w:t>
      </w:r>
      <w:r>
        <w:rPr>
          <w:spacing w:val="-3"/>
        </w:rPr>
        <w:t xml:space="preserve"> </w:t>
      </w:r>
      <w:r>
        <w:t>(variable</w:t>
      </w:r>
      <w:r>
        <w:rPr>
          <w:spacing w:val="-1"/>
        </w:rPr>
        <w:t xml:space="preserve"> </w:t>
      </w:r>
      <w:r>
        <w:t>regions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4),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recommend</w:t>
      </w:r>
      <w:r>
        <w:rPr>
          <w:spacing w:val="-3"/>
        </w:rPr>
        <w:t xml:space="preserve"> </w:t>
      </w:r>
      <w:proofErr w:type="spellStart"/>
      <w:r>
        <w:t>MiSeq</w:t>
      </w:r>
      <w:proofErr w:type="spellEnd"/>
      <w:r w:rsidR="00261BC4">
        <w:t xml:space="preserve"> i100</w:t>
      </w:r>
      <w:r>
        <w:t>,</w:t>
      </w:r>
      <w:r>
        <w:rPr>
          <w:spacing w:val="-4"/>
        </w:rPr>
        <w:t xml:space="preserve"> </w:t>
      </w:r>
      <w:r>
        <w:t>2x300</w:t>
      </w:r>
      <w:r>
        <w:rPr>
          <w:spacing w:val="-3"/>
        </w:rPr>
        <w:t xml:space="preserve"> </w:t>
      </w:r>
      <w:r>
        <w:t xml:space="preserve">cycles with 20% </w:t>
      </w:r>
      <w:proofErr w:type="spellStart"/>
      <w:r>
        <w:t>PhiX</w:t>
      </w:r>
      <w:proofErr w:type="spellEnd"/>
      <w:r>
        <w:t xml:space="preserve"> spike-in and 10 </w:t>
      </w:r>
      <w:proofErr w:type="spellStart"/>
      <w:r>
        <w:t>pM</w:t>
      </w:r>
      <w:proofErr w:type="spellEnd"/>
      <w:r>
        <w:t xml:space="preserve"> loading. </w:t>
      </w:r>
    </w:p>
    <w:p w14:paraId="3799DD74" w14:textId="77777777" w:rsidR="00A96672" w:rsidRDefault="00A96672" w:rsidP="00A96672">
      <w:pPr>
        <w:pStyle w:val="ListParagraph"/>
        <w:widowControl w:val="0"/>
        <w:numPr>
          <w:ilvl w:val="1"/>
          <w:numId w:val="14"/>
        </w:numPr>
        <w:tabs>
          <w:tab w:val="left" w:pos="996"/>
        </w:tabs>
        <w:autoSpaceDE w:val="0"/>
        <w:autoSpaceDN w:val="0"/>
        <w:spacing w:before="121" w:after="0" w:line="240" w:lineRule="auto"/>
        <w:ind w:right="409" w:firstLine="0"/>
        <w:contextualSpacing w:val="0"/>
      </w:pPr>
      <w:r>
        <w:t>For 16S projects starting with library construction at ICBR GE core, the pooled library will be transferred</w:t>
      </w:r>
      <w:r>
        <w:rPr>
          <w:spacing w:val="-3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NextGen</w:t>
      </w:r>
      <w:r>
        <w:rPr>
          <w:spacing w:val="-3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sequencing</w:t>
      </w:r>
      <w:r>
        <w:rPr>
          <w:spacing w:val="-3"/>
        </w:rPr>
        <w:t xml:space="preserve"> </w:t>
      </w:r>
      <w:r>
        <w:t>run.</w:t>
      </w:r>
      <w:r>
        <w:rPr>
          <w:spacing w:val="-2"/>
        </w:rPr>
        <w:t xml:space="preserve"> One of the advantages of the </w:t>
      </w:r>
      <w:proofErr w:type="spellStart"/>
      <w:r>
        <w:rPr>
          <w:spacing w:val="-2"/>
        </w:rPr>
        <w:t>QIAseq</w:t>
      </w:r>
      <w:proofErr w:type="spellEnd"/>
      <w:r>
        <w:rPr>
          <w:spacing w:val="-2"/>
        </w:rPr>
        <w:t xml:space="preserve"> 16S/ITS Kit is that it incorporates phased primers that increase base diversity, leading to higher Q30 scores (and more usable reads) and eliminating the need to add </w:t>
      </w:r>
      <w:proofErr w:type="spellStart"/>
      <w:r>
        <w:rPr>
          <w:spacing w:val="-2"/>
        </w:rPr>
        <w:t>PhiX</w:t>
      </w:r>
      <w:proofErr w:type="spellEnd"/>
      <w:r>
        <w:rPr>
          <w:spacing w:val="-2"/>
        </w:rPr>
        <w:t xml:space="preserve">, increasing the available reads.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analysis, please contact the Bioinformatics core (</w:t>
      </w:r>
      <w:r w:rsidRPr="00CC4076">
        <w:t>ICBR-Bioinformatics@ad.ufl.edu</w:t>
      </w:r>
      <w:r>
        <w:t>)</w:t>
      </w:r>
      <w:r w:rsidRPr="00CC4076">
        <w:t>.</w:t>
      </w:r>
    </w:p>
    <w:p w14:paraId="24D17758" w14:textId="77777777" w:rsidR="00A96672" w:rsidRDefault="00A96672" w:rsidP="00A96672">
      <w:pPr>
        <w:pStyle w:val="ListParagraph"/>
        <w:widowControl w:val="0"/>
        <w:numPr>
          <w:ilvl w:val="1"/>
          <w:numId w:val="14"/>
        </w:numPr>
        <w:tabs>
          <w:tab w:val="left" w:pos="1006"/>
        </w:tabs>
        <w:autoSpaceDE w:val="0"/>
        <w:autoSpaceDN w:val="0"/>
        <w:spacing w:before="118" w:after="0" w:line="240" w:lineRule="auto"/>
        <w:ind w:right="369" w:firstLine="0"/>
        <w:contextualSpacing w:val="0"/>
      </w:pPr>
      <w:r>
        <w:t>For premade 16S libraries, please submit pool to the ICBR NextGen DNA sequencing core. We</w:t>
      </w:r>
      <w:r>
        <w:rPr>
          <w:spacing w:val="40"/>
        </w:rPr>
        <w:t xml:space="preserve"> </w:t>
      </w:r>
      <w:r>
        <w:t>feel that it is best practice to request independent library pool evaluation services before sequencing, including quantification of “functional” library molecules by qPCR. You can choose to decline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QC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 xml:space="preserve">pool, plus detailed conditions for the </w:t>
      </w:r>
      <w:proofErr w:type="spellStart"/>
      <w:r>
        <w:t>MiSeq</w:t>
      </w:r>
      <w:proofErr w:type="spellEnd"/>
      <w:r>
        <w:t xml:space="preserve"> sequencing </w:t>
      </w:r>
      <w:proofErr w:type="gramStart"/>
      <w:r>
        <w:t>run set</w:t>
      </w:r>
      <w:proofErr w:type="gramEnd"/>
      <w:r>
        <w:t xml:space="preserve"> up. We need at least 15 ul at 10 </w:t>
      </w:r>
      <w:proofErr w:type="spellStart"/>
      <w:r>
        <w:t>nM</w:t>
      </w:r>
      <w:proofErr w:type="spellEnd"/>
      <w:r>
        <w:t xml:space="preserve"> (~3-5 ng/ul).</w:t>
      </w:r>
      <w:r>
        <w:rPr>
          <w:spacing w:val="-4"/>
        </w:rPr>
        <w:t xml:space="preserve"> </w:t>
      </w:r>
      <w:r>
        <w:t>To do so,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have a</w:t>
      </w:r>
      <w:r>
        <w:rPr>
          <w:spacing w:val="-3"/>
        </w:rPr>
        <w:t xml:space="preserve"> </w:t>
      </w:r>
      <w:proofErr w:type="spellStart"/>
      <w:r>
        <w:t>CrossLab</w:t>
      </w:r>
      <w:proofErr w:type="spellEnd"/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(PI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members).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our website (</w:t>
      </w:r>
      <w:hyperlink r:id="rId32">
        <w:r>
          <w:rPr>
            <w:u w:val="single"/>
          </w:rPr>
          <w:t>www.biotech.ufl.edu</w:t>
        </w:r>
      </w:hyperlink>
      <w:r>
        <w:t xml:space="preserve">), use your account credentials to </w:t>
      </w:r>
      <w:proofErr w:type="gramStart"/>
      <w:r>
        <w:t>login</w:t>
      </w:r>
      <w:proofErr w:type="gramEnd"/>
      <w:r>
        <w:t xml:space="preserve"> </w:t>
      </w:r>
      <w:proofErr w:type="spellStart"/>
      <w:r>
        <w:t>CrossLab</w:t>
      </w:r>
      <w:proofErr w:type="spellEnd"/>
      <w:r>
        <w:t xml:space="preserve"> and select UF-ICBR core.</w:t>
      </w:r>
      <w:r>
        <w:rPr>
          <w:spacing w:val="-1"/>
        </w:rPr>
        <w:t xml:space="preserve"> </w:t>
      </w:r>
      <w:r>
        <w:t>Navigate to the NextGen</w:t>
      </w:r>
      <w:r>
        <w:rPr>
          <w:spacing w:val="-2"/>
        </w:rPr>
        <w:t xml:space="preserve"> </w:t>
      </w:r>
      <w:r>
        <w:t>Sequencing</w:t>
      </w:r>
      <w:r>
        <w:rPr>
          <w:spacing w:val="-2"/>
        </w:rPr>
        <w:t xml:space="preserve"> </w:t>
      </w:r>
      <w:r>
        <w:t>core&gt; Illumina</w:t>
      </w:r>
      <w:r>
        <w:rPr>
          <w:spacing w:val="-1"/>
        </w:rPr>
        <w:t xml:space="preserve"> </w:t>
      </w:r>
      <w:r>
        <w:t>sequencing</w:t>
      </w:r>
      <w:r>
        <w:rPr>
          <w:spacing w:val="-2"/>
        </w:rPr>
        <w:t xml:space="preserve"> </w:t>
      </w:r>
      <w:r>
        <w:t>services&gt;</w:t>
      </w:r>
      <w:r>
        <w:rPr>
          <w:spacing w:val="-3"/>
        </w:rPr>
        <w:t xml:space="preserve"> </w:t>
      </w:r>
      <w:proofErr w:type="spellStart"/>
      <w:r>
        <w:t>MiSeq</w:t>
      </w:r>
      <w:proofErr w:type="spellEnd"/>
      <w:r>
        <w:t>,</w:t>
      </w:r>
      <w:r>
        <w:rPr>
          <w:spacing w:val="-1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to fill</w:t>
      </w:r>
      <w:r>
        <w:rPr>
          <w:spacing w:val="-4"/>
        </w:rPr>
        <w:t xml:space="preserve"> </w:t>
      </w:r>
      <w:r>
        <w:t>out service request form.</w:t>
      </w:r>
    </w:p>
    <w:p w14:paraId="12DC3A65" w14:textId="5C5DB99F" w:rsidR="00A96672" w:rsidRDefault="00A96672" w:rsidP="00A96672">
      <w:pPr>
        <w:pStyle w:val="ListParagraph"/>
        <w:widowControl w:val="0"/>
        <w:numPr>
          <w:ilvl w:val="0"/>
          <w:numId w:val="14"/>
        </w:numPr>
        <w:tabs>
          <w:tab w:val="left" w:pos="719"/>
          <w:tab w:val="left" w:pos="719"/>
        </w:tabs>
        <w:autoSpaceDE w:val="0"/>
        <w:autoSpaceDN w:val="0"/>
        <w:spacing w:before="120" w:after="0" w:line="240" w:lineRule="auto"/>
        <w:ind w:left="719" w:right="651" w:hanging="360"/>
        <w:contextualSpacing w:val="0"/>
      </w:pPr>
      <w:r w:rsidRPr="00230E38">
        <w:rPr>
          <w:b/>
          <w:bCs/>
          <w:sz w:val="24"/>
          <w:szCs w:val="24"/>
        </w:rPr>
        <w:t>Data analysis.</w:t>
      </w:r>
      <w:r>
        <w:t xml:space="preserve"> You will need to do that on your own using your preferred </w:t>
      </w:r>
      <w:r w:rsidR="000125DC">
        <w:t>method or</w:t>
      </w:r>
      <w:r>
        <w:t xml:space="preserve"> select data analysis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ICBR Bioinformatics Core can do this for a fee and will contact you to discuss the process (</w:t>
      </w:r>
      <w:r w:rsidRPr="00CC4076">
        <w:t>ICBR-Bioinformatics@ad.ufl.edu</w:t>
      </w:r>
      <w:r>
        <w:t>)</w:t>
      </w:r>
      <w:r>
        <w:rPr>
          <w:spacing w:val="-2"/>
        </w:rPr>
        <w:t>.</w:t>
      </w:r>
    </w:p>
    <w:p w14:paraId="25B8FCD9" w14:textId="77777777" w:rsidR="00A96672" w:rsidRDefault="00A96672" w:rsidP="00A96672">
      <w:pPr>
        <w:pStyle w:val="BodyText"/>
        <w:spacing w:before="121"/>
        <w:ind w:left="0"/>
      </w:pPr>
    </w:p>
    <w:p w14:paraId="44C8E799" w14:textId="77777777" w:rsidR="00A96672" w:rsidRDefault="00A96672" w:rsidP="00A96672">
      <w:pPr>
        <w:pStyle w:val="BodyText"/>
      </w:pPr>
      <w:r>
        <w:rPr>
          <w:color w:val="0070C0"/>
        </w:rPr>
        <w:t>Q: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What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are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the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DNA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quality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2"/>
        </w:rPr>
        <w:t>Requirements?</w:t>
      </w:r>
    </w:p>
    <w:p w14:paraId="6A69BF75" w14:textId="77777777" w:rsidR="00A96672" w:rsidRDefault="00A96672" w:rsidP="00A96672">
      <w:pPr>
        <w:pStyle w:val="BodyText"/>
        <w:spacing w:before="181"/>
        <w:ind w:right="335" w:hanging="1"/>
        <w:rPr>
          <w:b/>
        </w:rPr>
      </w:pPr>
      <w:r>
        <w:t>A: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16S</w:t>
      </w:r>
      <w:r>
        <w:rPr>
          <w:spacing w:val="-7"/>
        </w:rPr>
        <w:t xml:space="preserve"> </w:t>
      </w:r>
      <w:r>
        <w:t>metagenomics</w:t>
      </w:r>
      <w:r>
        <w:rPr>
          <w:spacing w:val="-4"/>
        </w:rPr>
        <w:t xml:space="preserve"> </w:t>
      </w:r>
      <w:r>
        <w:t>experiments.</w:t>
      </w:r>
      <w:r>
        <w:rPr>
          <w:spacing w:val="-7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your DNA sample</w:t>
      </w:r>
      <w:r>
        <w:rPr>
          <w:b/>
        </w:rPr>
        <w:t>:</w:t>
      </w:r>
    </w:p>
    <w:p w14:paraId="75E2D467" w14:textId="77777777" w:rsidR="00A96672" w:rsidRDefault="00A96672" w:rsidP="00A96672">
      <w:pPr>
        <w:pStyle w:val="ListParagraph"/>
        <w:widowControl w:val="0"/>
        <w:numPr>
          <w:ilvl w:val="0"/>
          <w:numId w:val="13"/>
        </w:numPr>
        <w:tabs>
          <w:tab w:val="left" w:pos="1439"/>
        </w:tabs>
        <w:autoSpaceDE w:val="0"/>
        <w:autoSpaceDN w:val="0"/>
        <w:spacing w:after="0" w:line="240" w:lineRule="auto"/>
        <w:ind w:right="658" w:hanging="360"/>
        <w:contextualSpacing w:val="0"/>
      </w:pPr>
      <w:proofErr w:type="gramStart"/>
      <w:r>
        <w:t>Is</w:t>
      </w:r>
      <w:proofErr w:type="gramEnd"/>
      <w:r>
        <w:rPr>
          <w:spacing w:val="-3"/>
        </w:rPr>
        <w:t xml:space="preserve"> </w:t>
      </w:r>
      <w:r>
        <w:t>double-stranded.</w:t>
      </w:r>
      <w:r>
        <w:rPr>
          <w:spacing w:val="-3"/>
        </w:rPr>
        <w:t xml:space="preserve"> </w:t>
      </w:r>
      <w:r>
        <w:t>Single-stranded</w:t>
      </w:r>
      <w:r>
        <w:rPr>
          <w:spacing w:val="-4"/>
        </w:rPr>
        <w:t xml:space="preserve"> </w:t>
      </w:r>
      <w:r>
        <w:t>DNA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adapted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preparation process and can interfere with quantitation and polymerase binding.</w:t>
      </w:r>
    </w:p>
    <w:p w14:paraId="19FB58A6" w14:textId="77777777" w:rsidR="00A96672" w:rsidRDefault="00A96672" w:rsidP="00A96672">
      <w:pPr>
        <w:pStyle w:val="ListParagraph"/>
        <w:widowControl w:val="0"/>
        <w:numPr>
          <w:ilvl w:val="0"/>
          <w:numId w:val="13"/>
        </w:numPr>
        <w:tabs>
          <w:tab w:val="left" w:pos="1439"/>
        </w:tabs>
        <w:autoSpaceDE w:val="0"/>
        <w:autoSpaceDN w:val="0"/>
        <w:spacing w:before="61" w:after="0" w:line="240" w:lineRule="auto"/>
        <w:ind w:hanging="360"/>
        <w:contextualSpacing w:val="0"/>
      </w:pPr>
      <w:r>
        <w:t>Has</w:t>
      </w:r>
      <w:r>
        <w:rPr>
          <w:spacing w:val="-4"/>
        </w:rPr>
        <w:t xml:space="preserve"> </w:t>
      </w:r>
      <w:r>
        <w:t>undergone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freeze-thaw</w:t>
      </w:r>
      <w:r>
        <w:rPr>
          <w:spacing w:val="-2"/>
        </w:rPr>
        <w:t xml:space="preserve"> cycles.</w:t>
      </w:r>
    </w:p>
    <w:p w14:paraId="5A849B11" w14:textId="77777777" w:rsidR="00A96672" w:rsidRDefault="00A96672" w:rsidP="00A96672">
      <w:pPr>
        <w:pStyle w:val="ListParagraph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spacing w:before="63" w:after="0" w:line="237" w:lineRule="auto"/>
        <w:ind w:left="1440" w:right="969"/>
        <w:contextualSpacing w:val="0"/>
      </w:pP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temperatures</w:t>
      </w:r>
      <w:r>
        <w:rPr>
          <w:spacing w:val="-4"/>
        </w:rPr>
        <w:t xml:space="preserve"> </w:t>
      </w:r>
      <w:r>
        <w:t>(&gt;</w:t>
      </w:r>
      <w:r>
        <w:rPr>
          <w:spacing w:val="-4"/>
        </w:rPr>
        <w:t xml:space="preserve"> </w:t>
      </w:r>
      <w:r>
        <w:t>65ºC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detectable decrease in sequence quality), pH extremes (&lt; 6 or &gt; 9).</w:t>
      </w:r>
    </w:p>
    <w:p w14:paraId="2C3DAEF2" w14:textId="77777777" w:rsidR="00A96672" w:rsidRDefault="00A96672" w:rsidP="00A96672">
      <w:pPr>
        <w:pStyle w:val="ListParagraph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spacing w:before="61" w:after="0" w:line="240" w:lineRule="auto"/>
        <w:ind w:left="1440" w:right="558"/>
        <w:contextualSpacing w:val="0"/>
      </w:pPr>
      <w:proofErr w:type="gramStart"/>
      <w:r>
        <w:t>Is</w:t>
      </w:r>
      <w:proofErr w:type="gramEnd"/>
      <w:r>
        <w:t xml:space="preserve"> intact during size-selection. If purifying DNA from a</w:t>
      </w:r>
      <w:r>
        <w:rPr>
          <w:spacing w:val="-1"/>
        </w:rPr>
        <w:t xml:space="preserve"> </w:t>
      </w:r>
      <w:r>
        <w:t xml:space="preserve">gel fragment, DO NOT use </w:t>
      </w:r>
      <w:r>
        <w:lastRenderedPageBreak/>
        <w:t>ethidium bromide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staining.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SYBR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DNA</w:t>
      </w:r>
      <w:r>
        <w:rPr>
          <w:spacing w:val="-5"/>
        </w:rPr>
        <w:t xml:space="preserve"> </w:t>
      </w:r>
      <w:r>
        <w:t>Gel</w:t>
      </w:r>
      <w:r>
        <w:rPr>
          <w:spacing w:val="-2"/>
        </w:rPr>
        <w:t xml:space="preserve"> </w:t>
      </w:r>
      <w:r>
        <w:t>Stain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visualization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blue light box (</w:t>
      </w:r>
      <w:hyperlink r:id="rId33">
        <w:r>
          <w:rPr>
            <w:u w:val="single"/>
          </w:rPr>
          <w:t>https://www.thermofisher.com/us/en/home/life-science/dna-rna-purification-</w:t>
        </w:r>
      </w:hyperlink>
    </w:p>
    <w:p w14:paraId="1CB56481" w14:textId="77777777" w:rsidR="008319B6" w:rsidRDefault="008319B6" w:rsidP="00A96672"/>
    <w:sectPr w:rsidR="008319B6">
      <w:head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0CF2" w14:textId="77777777" w:rsidR="000F1594" w:rsidRDefault="000F1594" w:rsidP="004B399B">
      <w:pPr>
        <w:spacing w:after="0" w:line="240" w:lineRule="auto"/>
      </w:pPr>
      <w:r>
        <w:separator/>
      </w:r>
    </w:p>
  </w:endnote>
  <w:endnote w:type="continuationSeparator" w:id="0">
    <w:p w14:paraId="7CAB3024" w14:textId="77777777" w:rsidR="000F1594" w:rsidRDefault="000F1594" w:rsidP="004B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Next 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1496" w14:textId="77777777" w:rsidR="000151F6" w:rsidRDefault="00015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E49" w14:textId="77777777" w:rsidR="00A96672" w:rsidRDefault="00A9667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6E19AE5" wp14:editId="78003D8C">
              <wp:simplePos x="0" y="0"/>
              <wp:positionH relativeFrom="page">
                <wp:posOffset>3813047</wp:posOffset>
              </wp:positionH>
              <wp:positionV relativeFrom="page">
                <wp:posOffset>9455911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D5699" w14:textId="77777777" w:rsidR="00A96672" w:rsidRDefault="00A96672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19AE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0.25pt;margin-top:744.55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NJHrOrhAAAADQEA&#10;AA8AAAAAAAAAAAAAAAAA6wMAAGRycy9kb3ducmV2LnhtbFBLBQYAAAAABAAEAPMAAAD5BAAAAAA=&#10;" filled="f" stroked="f">
              <v:textbox inset="0,0,0,0">
                <w:txbxContent>
                  <w:p w14:paraId="556D5699" w14:textId="77777777" w:rsidR="00A96672" w:rsidRDefault="00A96672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78A0" w14:textId="77777777" w:rsidR="000151F6" w:rsidRDefault="00015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5125" w14:textId="77777777" w:rsidR="000F1594" w:rsidRDefault="000F1594" w:rsidP="004B399B">
      <w:pPr>
        <w:spacing w:after="0" w:line="240" w:lineRule="auto"/>
      </w:pPr>
      <w:r>
        <w:separator/>
      </w:r>
    </w:p>
  </w:footnote>
  <w:footnote w:type="continuationSeparator" w:id="0">
    <w:p w14:paraId="1C075741" w14:textId="77777777" w:rsidR="000F1594" w:rsidRDefault="000F1594" w:rsidP="004B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4D62" w14:textId="77777777" w:rsidR="000151F6" w:rsidRDefault="00015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8441" w14:textId="7F2C3C42" w:rsidR="00A96672" w:rsidRDefault="00A9667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04A6B567" wp14:editId="67F3B3FE">
          <wp:simplePos x="0" y="0"/>
          <wp:positionH relativeFrom="margin">
            <wp:align>right</wp:align>
          </wp:positionH>
          <wp:positionV relativeFrom="page">
            <wp:posOffset>583938</wp:posOffset>
          </wp:positionV>
          <wp:extent cx="2886068" cy="410365"/>
          <wp:effectExtent l="0" t="0" r="0" b="889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86068" cy="41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2E14">
      <w:rPr>
        <w:sz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2713" w14:textId="77777777" w:rsidR="000151F6" w:rsidRDefault="000151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52E5" w14:textId="608597B6" w:rsidR="004B399B" w:rsidRDefault="00A028BA">
    <w:pPr>
      <w:pStyle w:val="Header"/>
    </w:pPr>
    <w:r>
      <w:rPr>
        <w:noProof/>
      </w:rPr>
      <w:t xml:space="preserve"> </w:t>
    </w:r>
    <w:r w:rsidR="00846ECA">
      <w:rPr>
        <w:noProof/>
      </w:rPr>
      <w:t xml:space="preserve">                                                                                          </w:t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31B0831E" wp14:editId="5BA2E984">
          <wp:extent cx="2886075" cy="428625"/>
          <wp:effectExtent l="0" t="0" r="9525" b="9525"/>
          <wp:docPr id="1" name="Picture 18" descr="ICBR-color electron gene expression genotyp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ICBR-color electron gene expression genotyp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37A"/>
    <w:multiLevelType w:val="hybridMultilevel"/>
    <w:tmpl w:val="41AEFB80"/>
    <w:lvl w:ilvl="0" w:tplc="6B68CE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6358"/>
    <w:multiLevelType w:val="hybridMultilevel"/>
    <w:tmpl w:val="F0C2067C"/>
    <w:lvl w:ilvl="0" w:tplc="26C6F1D6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EC6F16">
      <w:start w:val="1"/>
      <w:numFmt w:val="lowerLetter"/>
      <w:lvlText w:val="%2)."/>
      <w:lvlJc w:val="left"/>
      <w:pPr>
        <w:ind w:left="719" w:hanging="2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C0E6776">
      <w:numFmt w:val="bullet"/>
      <w:lvlText w:val="•"/>
      <w:lvlJc w:val="left"/>
      <w:pPr>
        <w:ind w:left="2592" w:hanging="279"/>
      </w:pPr>
      <w:rPr>
        <w:rFonts w:hint="default"/>
        <w:lang w:val="en-US" w:eastAsia="en-US" w:bidi="ar-SA"/>
      </w:rPr>
    </w:lvl>
    <w:lvl w:ilvl="3" w:tplc="7A00D7E6">
      <w:numFmt w:val="bullet"/>
      <w:lvlText w:val="•"/>
      <w:lvlJc w:val="left"/>
      <w:pPr>
        <w:ind w:left="3528" w:hanging="279"/>
      </w:pPr>
      <w:rPr>
        <w:rFonts w:hint="default"/>
        <w:lang w:val="en-US" w:eastAsia="en-US" w:bidi="ar-SA"/>
      </w:rPr>
    </w:lvl>
    <w:lvl w:ilvl="4" w:tplc="2F4CD21E">
      <w:numFmt w:val="bullet"/>
      <w:lvlText w:val="•"/>
      <w:lvlJc w:val="left"/>
      <w:pPr>
        <w:ind w:left="4464" w:hanging="279"/>
      </w:pPr>
      <w:rPr>
        <w:rFonts w:hint="default"/>
        <w:lang w:val="en-US" w:eastAsia="en-US" w:bidi="ar-SA"/>
      </w:rPr>
    </w:lvl>
    <w:lvl w:ilvl="5" w:tplc="86D08220">
      <w:numFmt w:val="bullet"/>
      <w:lvlText w:val="•"/>
      <w:lvlJc w:val="left"/>
      <w:pPr>
        <w:ind w:left="5400" w:hanging="279"/>
      </w:pPr>
      <w:rPr>
        <w:rFonts w:hint="default"/>
        <w:lang w:val="en-US" w:eastAsia="en-US" w:bidi="ar-SA"/>
      </w:rPr>
    </w:lvl>
    <w:lvl w:ilvl="6" w:tplc="8566283C">
      <w:numFmt w:val="bullet"/>
      <w:lvlText w:val="•"/>
      <w:lvlJc w:val="left"/>
      <w:pPr>
        <w:ind w:left="6336" w:hanging="279"/>
      </w:pPr>
      <w:rPr>
        <w:rFonts w:hint="default"/>
        <w:lang w:val="en-US" w:eastAsia="en-US" w:bidi="ar-SA"/>
      </w:rPr>
    </w:lvl>
    <w:lvl w:ilvl="7" w:tplc="FEAE14BE">
      <w:numFmt w:val="bullet"/>
      <w:lvlText w:val="•"/>
      <w:lvlJc w:val="left"/>
      <w:pPr>
        <w:ind w:left="7272" w:hanging="279"/>
      </w:pPr>
      <w:rPr>
        <w:rFonts w:hint="default"/>
        <w:lang w:val="en-US" w:eastAsia="en-US" w:bidi="ar-SA"/>
      </w:rPr>
    </w:lvl>
    <w:lvl w:ilvl="8" w:tplc="3A567712">
      <w:numFmt w:val="bullet"/>
      <w:lvlText w:val="•"/>
      <w:lvlJc w:val="left"/>
      <w:pPr>
        <w:ind w:left="8208" w:hanging="279"/>
      </w:pPr>
      <w:rPr>
        <w:rFonts w:hint="default"/>
        <w:lang w:val="en-US" w:eastAsia="en-US" w:bidi="ar-SA"/>
      </w:rPr>
    </w:lvl>
  </w:abstractNum>
  <w:abstractNum w:abstractNumId="2" w15:restartNumberingAfterBreak="0">
    <w:nsid w:val="1CED5975"/>
    <w:multiLevelType w:val="hybridMultilevel"/>
    <w:tmpl w:val="5EAED5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2427A"/>
    <w:multiLevelType w:val="hybridMultilevel"/>
    <w:tmpl w:val="3618BDA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FE376D"/>
    <w:multiLevelType w:val="hybridMultilevel"/>
    <w:tmpl w:val="9676A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2765E"/>
    <w:multiLevelType w:val="multilevel"/>
    <w:tmpl w:val="A154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0439F"/>
    <w:multiLevelType w:val="hybridMultilevel"/>
    <w:tmpl w:val="D97A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81061"/>
    <w:multiLevelType w:val="hybridMultilevel"/>
    <w:tmpl w:val="FFD64A6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464F12B1"/>
    <w:multiLevelType w:val="hybridMultilevel"/>
    <w:tmpl w:val="AD52C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67A24"/>
    <w:multiLevelType w:val="hybridMultilevel"/>
    <w:tmpl w:val="57DA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978A1"/>
    <w:multiLevelType w:val="hybridMultilevel"/>
    <w:tmpl w:val="C312265C"/>
    <w:lvl w:ilvl="0" w:tplc="EB4689FC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561388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C0EEE3CC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C0B6A84E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4" w:tplc="2E5E17B2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4C048CE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1E1C853C">
      <w:numFmt w:val="bullet"/>
      <w:lvlText w:val="•"/>
      <w:lvlJc w:val="left"/>
      <w:pPr>
        <w:ind w:left="6624" w:hanging="361"/>
      </w:pPr>
      <w:rPr>
        <w:rFonts w:hint="default"/>
        <w:lang w:val="en-US" w:eastAsia="en-US" w:bidi="ar-SA"/>
      </w:rPr>
    </w:lvl>
    <w:lvl w:ilvl="7" w:tplc="CF9C1AB8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8" w:tplc="4C1C25F8"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A8F2EFC"/>
    <w:multiLevelType w:val="hybridMultilevel"/>
    <w:tmpl w:val="97D66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CB019F"/>
    <w:multiLevelType w:val="multilevel"/>
    <w:tmpl w:val="A154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C97F08"/>
    <w:multiLevelType w:val="hybridMultilevel"/>
    <w:tmpl w:val="5EAED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5723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779924">
    <w:abstractNumId w:val="5"/>
  </w:num>
  <w:num w:numId="3" w16cid:durableId="412706451">
    <w:abstractNumId w:val="7"/>
  </w:num>
  <w:num w:numId="4" w16cid:durableId="473182224">
    <w:abstractNumId w:val="9"/>
  </w:num>
  <w:num w:numId="5" w16cid:durableId="1371682249">
    <w:abstractNumId w:val="0"/>
  </w:num>
  <w:num w:numId="6" w16cid:durableId="1790053648">
    <w:abstractNumId w:val="11"/>
  </w:num>
  <w:num w:numId="7" w16cid:durableId="46034935">
    <w:abstractNumId w:val="8"/>
  </w:num>
  <w:num w:numId="8" w16cid:durableId="1960646828">
    <w:abstractNumId w:val="2"/>
  </w:num>
  <w:num w:numId="9" w16cid:durableId="755248896">
    <w:abstractNumId w:val="13"/>
  </w:num>
  <w:num w:numId="10" w16cid:durableId="232467622">
    <w:abstractNumId w:val="3"/>
  </w:num>
  <w:num w:numId="11" w16cid:durableId="557593174">
    <w:abstractNumId w:val="6"/>
  </w:num>
  <w:num w:numId="12" w16cid:durableId="17852670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9575248">
    <w:abstractNumId w:val="10"/>
  </w:num>
  <w:num w:numId="14" w16cid:durableId="49796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FA"/>
    <w:rsid w:val="000125DC"/>
    <w:rsid w:val="000151F6"/>
    <w:rsid w:val="00087590"/>
    <w:rsid w:val="00091859"/>
    <w:rsid w:val="000A027F"/>
    <w:rsid w:val="000F1594"/>
    <w:rsid w:val="0013116E"/>
    <w:rsid w:val="001816C5"/>
    <w:rsid w:val="001A0522"/>
    <w:rsid w:val="002612C3"/>
    <w:rsid w:val="00261BC4"/>
    <w:rsid w:val="002830AB"/>
    <w:rsid w:val="002D392F"/>
    <w:rsid w:val="002F264C"/>
    <w:rsid w:val="00355ADD"/>
    <w:rsid w:val="003B4ACC"/>
    <w:rsid w:val="003D4567"/>
    <w:rsid w:val="003F797B"/>
    <w:rsid w:val="00453DA2"/>
    <w:rsid w:val="004702C1"/>
    <w:rsid w:val="00475743"/>
    <w:rsid w:val="004B399B"/>
    <w:rsid w:val="004E689B"/>
    <w:rsid w:val="00523B0E"/>
    <w:rsid w:val="00557FFA"/>
    <w:rsid w:val="005B40B2"/>
    <w:rsid w:val="005D2DD6"/>
    <w:rsid w:val="00614C9C"/>
    <w:rsid w:val="006D4574"/>
    <w:rsid w:val="006F577E"/>
    <w:rsid w:val="0073372B"/>
    <w:rsid w:val="007409EC"/>
    <w:rsid w:val="00743A2A"/>
    <w:rsid w:val="0078122E"/>
    <w:rsid w:val="008319B6"/>
    <w:rsid w:val="00846ECA"/>
    <w:rsid w:val="00896308"/>
    <w:rsid w:val="008A66FF"/>
    <w:rsid w:val="008C1903"/>
    <w:rsid w:val="00901E3C"/>
    <w:rsid w:val="009F692B"/>
    <w:rsid w:val="00A028BA"/>
    <w:rsid w:val="00A147B8"/>
    <w:rsid w:val="00A53B66"/>
    <w:rsid w:val="00A96672"/>
    <w:rsid w:val="00AB199D"/>
    <w:rsid w:val="00AD4593"/>
    <w:rsid w:val="00AE58AE"/>
    <w:rsid w:val="00B04DD2"/>
    <w:rsid w:val="00B059DD"/>
    <w:rsid w:val="00B205A0"/>
    <w:rsid w:val="00B366B8"/>
    <w:rsid w:val="00B5331E"/>
    <w:rsid w:val="00B55459"/>
    <w:rsid w:val="00B73435"/>
    <w:rsid w:val="00BB6B1D"/>
    <w:rsid w:val="00BE2CC8"/>
    <w:rsid w:val="00C35E63"/>
    <w:rsid w:val="00C87443"/>
    <w:rsid w:val="00D32E14"/>
    <w:rsid w:val="00D37C33"/>
    <w:rsid w:val="00D62AAD"/>
    <w:rsid w:val="00DA6B67"/>
    <w:rsid w:val="00DC220C"/>
    <w:rsid w:val="00E150CE"/>
    <w:rsid w:val="00E4799B"/>
    <w:rsid w:val="00F4560E"/>
    <w:rsid w:val="00FB21AA"/>
    <w:rsid w:val="00FB2E83"/>
    <w:rsid w:val="00F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A26D8F"/>
  <w15:chartTrackingRefBased/>
  <w15:docId w15:val="{195C9B84-3645-4EAC-9391-C55CC0C2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C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2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2830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39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99B"/>
  </w:style>
  <w:style w:type="paragraph" w:styleId="Footer">
    <w:name w:val="footer"/>
    <w:basedOn w:val="Normal"/>
    <w:link w:val="FooterChar"/>
    <w:uiPriority w:val="99"/>
    <w:unhideWhenUsed/>
    <w:rsid w:val="004B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99B"/>
  </w:style>
  <w:style w:type="paragraph" w:customStyle="1" w:styleId="Default">
    <w:name w:val="Default"/>
    <w:rsid w:val="00E150CE"/>
    <w:pPr>
      <w:autoSpaceDE w:val="0"/>
      <w:autoSpaceDN w:val="0"/>
      <w:adjustRightInd w:val="0"/>
      <w:spacing w:after="0" w:line="240" w:lineRule="auto"/>
    </w:pPr>
    <w:rPr>
      <w:rFonts w:ascii="DIN Next LT Pro" w:hAnsi="DIN Next LT Pro" w:cs="DIN Next LT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2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C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96672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9667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rmofisher.com/order/catalog/product/A29790" TargetMode="External"/><Relationship Id="rId18" Type="http://schemas.openxmlformats.org/officeDocument/2006/relationships/hyperlink" Target="https://www.qiagen.com/us/products/discovery-and-translational-research/dna-rna-purification/dna-purification/microbial-dna/qiaamp-dna-microbiome-kit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omegabiotek.com/product/e-z-n-a-stool-dna-kit/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bd.com/en-us/offerings/capabilities/specimen-collection/swab-based-specimen-collection/bd-bbl-cultureswab-ez-collection-and-transport-systems" TargetMode="External"/><Relationship Id="rId17" Type="http://schemas.openxmlformats.org/officeDocument/2006/relationships/hyperlink" Target="https://www.qiagen.com/us/products/discovery-and-translational-research/dna-rna-purification/dna-purification/microbial-dna/qiaamp-dna-microbiome-kit/" TargetMode="External"/><Relationship Id="rId25" Type="http://schemas.openxmlformats.org/officeDocument/2006/relationships/hyperlink" Target="https://support.illumina.com/documents/documentation/chemistry_documentation/16s/16s-metagenomic-library-prep-guide-15044223-b.pdf" TargetMode="External"/><Relationship Id="rId33" Type="http://schemas.openxmlformats.org/officeDocument/2006/relationships/hyperlink" Target="https://www.thermofisher.com/us/en/home/life-science/dna-rna-purification-analysis/nucleic-acid-gel-electrophoresis/dna-stains/sybr-saf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qiagen.com/us/products/discovery-and-translational-research/dna-rna-purification/dna-purification/microbial-dna/qiaamp-dna-microbiome-kit/" TargetMode="External"/><Relationship Id="rId20" Type="http://schemas.openxmlformats.org/officeDocument/2006/relationships/hyperlink" Target="https://www.qiagen.com/us/spotlight-pages/ias/automated-qpcr-workflow/assay-setup/qiaamp-dna-stool-mini-kit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d.com/en-us/offerings/capabilities/specimen-collection/swab-based-specimen-collection/bd-bbl-cultureswab-ez-collection-and-transport-systems" TargetMode="External"/><Relationship Id="rId24" Type="http://schemas.openxmlformats.org/officeDocument/2006/relationships/hyperlink" Target="https://support.illumina.com/documents/documentation/chemistry_documentation/16s/16s-metagenomic-library-prep-guide-15044223-b.pdf" TargetMode="External"/><Relationship Id="rId32" Type="http://schemas.openxmlformats.org/officeDocument/2006/relationships/hyperlink" Target="http://www.biotech.ufl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genbiotek.com/product/microbiome-dna-isolation-kit" TargetMode="External"/><Relationship Id="rId23" Type="http://schemas.openxmlformats.org/officeDocument/2006/relationships/hyperlink" Target="http://www.epibio.com/applications/nucleic-acid-purification-extraction-kits/dna-purification-genomic/meta-g-nome-dna-isolation-kit?details" TargetMode="External"/><Relationship Id="rId28" Type="http://schemas.openxmlformats.org/officeDocument/2006/relationships/footer" Target="footer1.xml"/><Relationship Id="rId36" Type="http://schemas.openxmlformats.org/officeDocument/2006/relationships/theme" Target="theme/theme1.xml"/><Relationship Id="rId10" Type="http://schemas.openxmlformats.org/officeDocument/2006/relationships/hyperlink" Target="https://norgenbiotek.com/category/microbiome-collection-preservation-and-isolation" TargetMode="External"/><Relationship Id="rId19" Type="http://schemas.openxmlformats.org/officeDocument/2006/relationships/hyperlink" Target="https://www.qiagen.com/us/spotlight-pages/ias/automated-qpcr-workflow/assay-setup/qiaamp-dna-stool-mini-kit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orgenbiotek.com/category/microbiome-collection-preservation-and-isolation" TargetMode="External"/><Relationship Id="rId14" Type="http://schemas.openxmlformats.org/officeDocument/2006/relationships/hyperlink" Target="https://norgenbiotek.com/product/microbiome-dna-isolation-kit" TargetMode="External"/><Relationship Id="rId22" Type="http://schemas.openxmlformats.org/officeDocument/2006/relationships/hyperlink" Target="http://www.epibio.com/applications/nucleic-acid-purification-extraction-kits/dna-purification-genomic/meta-g-nome-dna-isolation-kit?detail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fontTable" Target="fontTable.xml"/><Relationship Id="rId8" Type="http://schemas.openxmlformats.org/officeDocument/2006/relationships/hyperlink" Target="https://www.zymoresearch.com/pages/sample-collec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6BCA-E227-4FF5-9D4D-1F1397D2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- ICBR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Navia,Wayra</dc:creator>
  <cp:keywords/>
  <dc:description/>
  <cp:lastModifiedBy>Zhang,Yanping</cp:lastModifiedBy>
  <cp:revision>9</cp:revision>
  <dcterms:created xsi:type="dcterms:W3CDTF">2026-05-07T20:41:00Z</dcterms:created>
  <dcterms:modified xsi:type="dcterms:W3CDTF">2026-05-07T21:25:00Z</dcterms:modified>
</cp:coreProperties>
</file>